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62030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瓦水路充电场站经营合作三方协议</w:t>
      </w:r>
    </w:p>
    <w:p w14:paraId="61FBF5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17C8D8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甲方：长沙麓谷市政园林环卫有限公司（简称甲方）</w:t>
      </w:r>
    </w:p>
    <w:p w14:paraId="4AB0D25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法定代表人：赵锡苗</w:t>
      </w:r>
    </w:p>
    <w:p w14:paraId="13D7F78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地址：湖南湘江新区东方红街道环联路101号1栋101</w:t>
      </w:r>
    </w:p>
    <w:p w14:paraId="35C4E7C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乙方：长沙麓谷清洁能源经营有限公司（简称乙方）</w:t>
      </w:r>
    </w:p>
    <w:p w14:paraId="498BA61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法定代表人：郭薇</w:t>
      </w:r>
    </w:p>
    <w:p w14:paraId="5D91F63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地址：长沙高新开发区文轩路27号麓谷钰园创业大楼20层2003号</w:t>
      </w:r>
    </w:p>
    <w:p w14:paraId="06CA25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丙方：购买资产方（简称丙方）</w:t>
      </w:r>
    </w:p>
    <w:p w14:paraId="1D4C50E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法定代表人：</w:t>
      </w:r>
    </w:p>
    <w:p w14:paraId="56BBA4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lang w:eastAsia="zh-CN"/>
        </w:rPr>
      </w:pPr>
      <w:r>
        <w:rPr>
          <w:rFonts w:hint="eastAsia" w:ascii="黑体" w:hAnsi="黑体" w:eastAsia="黑体" w:cs="黑体"/>
          <w:lang w:eastAsia="zh-CN"/>
        </w:rPr>
        <w:t>地址：</w:t>
      </w:r>
    </w:p>
    <w:p w14:paraId="1F3F30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28C5F22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甲乙双方于2023年9月26日签订《土地使用权租赁事宜三方协议》（以下简称《土地租赁三方协议》）、2024年7月31日签订《〈公交临时过渡站场土地使用权租赁合同〉补充协议》（以下简称《补充协议》），明确甲方系《土地租赁三方协议》涉及租赁标的物土地使用权的实际权利人，乙方享有租赁标的物截至2028年12月31日的土地使用权。丙方系瓦水路充电场站固定资产及配套设施购买方，为实现资产的有效处置、运营的平稳承接以及土地的合理续租，甲、乙、丙三方经友好协商，决定按照本协议约定开展经营合作，并就相关事宜达成如下协议：</w:t>
      </w:r>
    </w:p>
    <w:p w14:paraId="5ED2EFB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ascii="黑体" w:hAnsi="黑体" w:eastAsia="黑体" w:cs="黑体"/>
          <w:lang w:eastAsia="zh-CN"/>
        </w:rPr>
        <w:t>一、土地租赁范围及面积：</w:t>
      </w:r>
      <w:r>
        <w:rPr>
          <w:rFonts w:hint="eastAsia" w:eastAsia="仿宋_GB2312"/>
          <w:lang w:eastAsia="zh-CN"/>
        </w:rPr>
        <w:t>位于长沙市湘江新区华龙路以南，福西路以西地块，面积5738平方米（8.6亩），即瓦水路充电场站，地下资源、埋藏物和市政公用设施均不属于本协议租赁范围。</w:t>
      </w:r>
    </w:p>
    <w:p w14:paraId="222F2FC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lang w:eastAsia="zh-CN"/>
        </w:rPr>
      </w:pPr>
      <w:r>
        <w:rPr>
          <w:rFonts w:hint="eastAsia" w:ascii="黑体" w:hAnsi="黑体" w:eastAsia="黑体" w:cs="黑体"/>
          <w:lang w:eastAsia="zh-CN"/>
        </w:rPr>
        <w:t>二、经营模式</w:t>
      </w:r>
      <w:r>
        <w:rPr>
          <w:rFonts w:hint="eastAsia" w:ascii="黑体" w:hAnsi="黑体" w:eastAsia="黑体" w:cs="黑体"/>
          <w:lang w:eastAsia="zh-CN"/>
        </w:rPr>
        <w:tab/>
      </w:r>
    </w:p>
    <w:p w14:paraId="17B913C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lang w:eastAsia="zh-CN"/>
        </w:rPr>
        <w:t>1、合作经营方式：丙方按下述两个时间阶段分别与甲方或乙方合作经营，根据合作时间段由甲方或乙方提供土地资源，并对瓦水路充电场站进行安全规范监管</w:t>
      </w:r>
      <w:r>
        <w:rPr>
          <w:rFonts w:hint="eastAsia" w:eastAsia="仿宋_GB2312"/>
          <w:color w:val="000000" w:themeColor="text1"/>
          <w:lang w:eastAsia="zh-CN"/>
          <w14:textFill>
            <w14:solidFill>
              <w14:schemeClr w14:val="tx1"/>
            </w14:solidFill>
          </w14:textFill>
        </w:rPr>
        <w:t>。丙方提供充电设施及配套设施，承诺新投资建设固化设施（包含但不限于场地硬化、充电设施及配套设施升级）总投资额不低于人民币100万元，</w:t>
      </w:r>
      <w:r>
        <w:rPr>
          <w:rFonts w:hint="eastAsia"/>
          <w:color w:val="000000" w:themeColor="text1"/>
          <w:lang w:eastAsia="zh-CN"/>
          <w14:textFill>
            <w14:solidFill>
              <w14:schemeClr w14:val="tx1"/>
            </w14:solidFill>
          </w14:textFill>
        </w:rPr>
        <w:t>丙方在进场</w:t>
      </w:r>
      <w:r>
        <w:rPr>
          <w:rFonts w:hint="eastAsia"/>
          <w:color w:val="000000" w:themeColor="text1"/>
          <w:lang w:val="en-US" w:eastAsia="zh-CN"/>
          <w14:textFill>
            <w14:solidFill>
              <w14:schemeClr w14:val="tx1"/>
            </w14:solidFill>
          </w14:textFill>
        </w:rPr>
        <w:t>15个工作日内应向甲方、乙方提供投资方案，并明确具体投资清单；甲方、乙方针对丙方所提供的清单及实际投资相关证明材料进行确认。</w:t>
      </w:r>
      <w:r>
        <w:rPr>
          <w:rFonts w:hint="eastAsia" w:eastAsia="仿宋_GB2312"/>
          <w:color w:val="000000" w:themeColor="text1"/>
          <w:lang w:eastAsia="zh-CN"/>
          <w14:textFill>
            <w14:solidFill>
              <w14:schemeClr w14:val="tx1"/>
            </w14:solidFill>
          </w14:textFill>
        </w:rPr>
        <w:t>负责充电场站运营管理、设备维修维护及日常安全管理。合作期间，甲方或乙方均以“固定土地费用+分成充电服务费”的形式向丙方收取费用。</w:t>
      </w:r>
    </w:p>
    <w:p w14:paraId="23E5893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2、经营合作期限</w:t>
      </w:r>
    </w:p>
    <w:p w14:paraId="158AF6F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第一阶段：自本协议生效之日起至2028年12月31日止。在此期间，丙方作为运营方与乙方合作经营，产生的全部固定土地费用、分成充电服务费归属乙方所有。乙方按照2024年7月31日单独与甲方签订的《补充协议》租赁甲方土地并以此为依据向甲方支付土地租金，并将该土地提供丙方在合作运营期间使用。</w:t>
      </w:r>
    </w:p>
    <w:p w14:paraId="02439A4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lang w:eastAsia="zh-CN"/>
        </w:rPr>
        <w:t>第二阶段：自2029年1月1日起至2035年12月31日止。在此期间，由甲方与丙方合作经营充电场站，乙方的权利与义务终止，</w:t>
      </w:r>
      <w:r>
        <w:rPr>
          <w:rFonts w:hint="eastAsia" w:eastAsia="仿宋_GB2312"/>
          <w:color w:val="000000" w:themeColor="text1"/>
          <w:lang w:eastAsia="zh-CN"/>
          <w14:textFill>
            <w14:solidFill>
              <w14:schemeClr w14:val="tx1"/>
            </w14:solidFill>
          </w14:textFill>
        </w:rPr>
        <w:t>产生的全部固定土地费用、分成充电服务费归属甲方所有。</w:t>
      </w:r>
    </w:p>
    <w:p w14:paraId="51569EF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color w:val="000000" w:themeColor="text1"/>
          <w:lang w:eastAsia="zh-CN"/>
          <w14:textFill>
            <w14:solidFill>
              <w14:schemeClr w14:val="tx1"/>
            </w14:solidFill>
          </w14:textFill>
        </w:rPr>
      </w:pPr>
      <w:r>
        <w:rPr>
          <w:rFonts w:hint="eastAsia" w:ascii="黑体" w:hAnsi="黑体" w:eastAsia="黑体" w:cs="黑体"/>
          <w:b w:val="0"/>
          <w:bCs w:val="0"/>
          <w:color w:val="000000" w:themeColor="text1"/>
          <w:lang w:eastAsia="zh-CN"/>
          <w14:textFill>
            <w14:solidFill>
              <w14:schemeClr w14:val="tx1"/>
            </w14:solidFill>
          </w14:textFill>
        </w:rPr>
        <w:t>三、土地租赁用途、交付期限</w:t>
      </w:r>
    </w:p>
    <w:p w14:paraId="6D0B117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color w:val="000000" w:themeColor="text1"/>
          <w:lang w:eastAsia="zh-CN"/>
          <w14:textFill>
            <w14:solidFill>
              <w14:schemeClr w14:val="tx1"/>
            </w14:solidFill>
          </w14:textFill>
        </w:rPr>
        <w:t>1、本协议项下的租赁地块用途为：临时公交停车充电站场。</w:t>
      </w:r>
    </w:p>
    <w:p w14:paraId="393381A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color w:val="000000" w:themeColor="text1"/>
          <w:lang w:eastAsia="zh-CN"/>
          <w14:textFill>
            <w14:solidFill>
              <w14:schemeClr w14:val="tx1"/>
            </w14:solidFill>
          </w14:textFill>
        </w:rPr>
        <w:t>2、</w:t>
      </w:r>
      <w:r>
        <w:rPr>
          <w:rFonts w:hint="eastAsia"/>
          <w:color w:val="000000" w:themeColor="text1"/>
          <w:lang w:eastAsia="zh-CN"/>
          <w14:textFill>
            <w14:solidFill>
              <w14:schemeClr w14:val="tx1"/>
            </w14:solidFill>
          </w14:textFill>
        </w:rPr>
        <w:t>除因</w:t>
      </w:r>
      <w:r>
        <w:rPr>
          <w:rFonts w:hint="eastAsia" w:eastAsia="仿宋_GB2312"/>
          <w:color w:val="000000" w:themeColor="text1"/>
          <w:lang w:eastAsia="zh-CN"/>
          <w14:textFill>
            <w14:solidFill>
              <w14:schemeClr w14:val="tx1"/>
            </w14:solidFill>
          </w14:textFill>
        </w:rPr>
        <w:t>长沙公交运营有限公司</w:t>
      </w:r>
      <w:r>
        <w:rPr>
          <w:rFonts w:hint="eastAsia"/>
          <w:color w:val="000000" w:themeColor="text1"/>
          <w:lang w:eastAsia="zh-CN"/>
          <w14:textFill>
            <w14:solidFill>
              <w14:schemeClr w14:val="tx1"/>
            </w14:solidFill>
          </w14:textFill>
        </w:rPr>
        <w:t>书面主动提出退出</w:t>
      </w:r>
      <w:r>
        <w:rPr>
          <w:rFonts w:hint="eastAsia" w:eastAsia="仿宋_GB2312"/>
          <w:color w:val="000000" w:themeColor="text1"/>
          <w:lang w:eastAsia="zh-CN"/>
          <w14:textFill>
            <w14:solidFill>
              <w14:schemeClr w14:val="tx1"/>
            </w14:solidFill>
          </w14:textFill>
        </w:rPr>
        <w:t>，丙方不得擅自终止公交方在该站运营</w:t>
      </w:r>
      <w:r>
        <w:rPr>
          <w:rFonts w:hint="eastAsia"/>
          <w:color w:val="000000" w:themeColor="text1"/>
          <w:lang w:eastAsia="zh-CN"/>
          <w14:textFill>
            <w14:solidFill>
              <w14:schemeClr w14:val="tx1"/>
            </w14:solidFill>
          </w14:textFill>
        </w:rPr>
        <w:t>，</w:t>
      </w:r>
      <w:r>
        <w:rPr>
          <w:rFonts w:hint="eastAsia" w:eastAsia="仿宋_GB2312"/>
          <w:color w:val="000000" w:themeColor="text1"/>
          <w:lang w:eastAsia="zh-CN"/>
          <w14:textFill>
            <w14:solidFill>
              <w14:schemeClr w14:val="tx1"/>
            </w14:solidFill>
          </w14:textFill>
        </w:rPr>
        <w:t>否则甲方或乙方有权立即收回该站运营权，丙方在该站投资的所有固化设施（包含但不限于场地硬化、充电设施及配套设施升级）无偿归甲</w:t>
      </w:r>
      <w:r>
        <w:rPr>
          <w:rFonts w:hint="eastAsia" w:eastAsia="仿宋_GB2312"/>
          <w:lang w:eastAsia="zh-CN"/>
        </w:rPr>
        <w:t>方或乙方所有，且甲方或乙方无需支付任何补偿。</w:t>
      </w:r>
    </w:p>
    <w:p w14:paraId="729D95D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3、租赁期内丙方将租赁土地的部分或全部改作他用时，应书面告知甲方或乙方并取得甲方或乙方书面形式的许可（按合作时间段进行）。甲方或乙方接到丙方通知后15个工作日内决定是否同意该等改变。</w:t>
      </w:r>
      <w:r>
        <w:rPr>
          <w:rFonts w:hint="eastAsia" w:ascii="仿宋_GB2312" w:hAnsi="仿宋_GB2312" w:eastAsia="仿宋_GB2312" w:cs="仿宋_GB2312"/>
          <w:color w:val="000000"/>
          <w:sz w:val="30"/>
          <w:szCs w:val="30"/>
          <w:highlight w:val="none"/>
          <w:u w:val="none" w:color="000000"/>
          <w:lang w:val="en-US" w:eastAsia="zh-CN"/>
        </w:rPr>
        <w:t>如合作经营期在第一阶段，乙方应根据2023年9月26日签订《土地租赁三方协议》约定报甲方许可。如甲方或乙方同意，</w:t>
      </w:r>
      <w:r>
        <w:rPr>
          <w:rFonts w:hint="eastAsia" w:eastAsia="仿宋_GB2312"/>
          <w:lang w:eastAsia="zh-CN"/>
        </w:rPr>
        <w:t>则丙方应到有关部门办理相应批准手续。在取得批准后，丙方方可按改变后的用途使用。甲方或乙方的同意并不视为甲方或乙方对丙方的承诺或义务，若相关政府部门未批准土地用途变更的，丙方应自行承担所有后果。</w:t>
      </w:r>
    </w:p>
    <w:p w14:paraId="2DD81A3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4、乙方于</w:t>
      </w:r>
      <w:r>
        <w:rPr>
          <w:rFonts w:hint="eastAsia" w:eastAsia="仿宋_GB2312"/>
          <w:u w:val="single"/>
          <w:lang w:eastAsia="zh-CN"/>
        </w:rPr>
        <w:t xml:space="preserve">    年   月   </w:t>
      </w:r>
      <w:r>
        <w:rPr>
          <w:rFonts w:hint="eastAsia" w:eastAsia="仿宋_GB2312"/>
          <w:lang w:eastAsia="zh-CN"/>
        </w:rPr>
        <w:t>日之前将租赁土地交付于丙方使用。</w:t>
      </w:r>
    </w:p>
    <w:p w14:paraId="5ED118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lang w:eastAsia="zh-CN"/>
        </w:rPr>
      </w:pPr>
      <w:r>
        <w:rPr>
          <w:rFonts w:hint="eastAsia" w:ascii="黑体" w:hAnsi="黑体" w:eastAsia="黑体" w:cs="黑体"/>
          <w:b w:val="0"/>
          <w:bCs w:val="0"/>
          <w:lang w:eastAsia="zh-CN"/>
        </w:rPr>
        <w:t>四、固定土地费用、保证金、分成充电服务费</w:t>
      </w:r>
    </w:p>
    <w:p w14:paraId="377CDF98">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92" w:firstLineChars="200"/>
        <w:jc w:val="both"/>
        <w:textAlignment w:val="auto"/>
        <w:rPr>
          <w:rFonts w:hint="eastAsia" w:ascii="仿宋_GB2312" w:hAnsi="仿宋_GB2312" w:eastAsia="仿宋_GB2312" w:cs="仿宋_GB2312"/>
          <w:color w:val="000000"/>
          <w:sz w:val="30"/>
          <w:szCs w:val="30"/>
          <w:highlight w:val="none"/>
          <w:u w:val="single" w:color="auto"/>
          <w:lang w:val="en-US" w:eastAsia="zh-CN"/>
        </w:rPr>
      </w:pP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乙方</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自</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本协议生效之日起至2028年12月31日</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止，</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按照</w:t>
      </w:r>
      <w:r>
        <w:rPr>
          <w:rFonts w:hint="eastAsia" w:ascii="仿宋_GB2312" w:hAnsi="仿宋_GB2312" w:eastAsia="仿宋_GB2312" w:cs="仿宋_GB2312"/>
          <w:color w:val="000000" w:themeColor="text1"/>
          <w:sz w:val="30"/>
          <w:szCs w:val="30"/>
          <w:highlight w:val="none"/>
          <w:u w:val="single" w:color="auto"/>
          <w14:textFill>
            <w14:solidFill>
              <w14:schemeClr w14:val="tx1"/>
            </w14:solidFill>
          </w14:textFill>
        </w:rPr>
        <w:t>209186</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元/年</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（含税，税率9%）标准向丙方收取</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固定土地费用</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。甲方</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自</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2029年1月1日起至2031年12月31日，</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按照</w:t>
      </w:r>
      <w:r>
        <w:rPr>
          <w:rFonts w:hint="eastAsia" w:ascii="仿宋_GB2312" w:hAnsi="仿宋_GB2312" w:eastAsia="仿宋_GB2312" w:cs="仿宋_GB2312"/>
          <w:color w:val="000000" w:themeColor="text1"/>
          <w:sz w:val="30"/>
          <w:szCs w:val="30"/>
          <w:highlight w:val="none"/>
          <w:u w:val="single" w:color="auto"/>
          <w14:textFill>
            <w14:solidFill>
              <w14:schemeClr w14:val="tx1"/>
            </w14:solidFill>
          </w14:textFill>
        </w:rPr>
        <w:t>209186</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元/年</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（含税，税率9%）标准向丙方收取</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固定土地费用</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；自2029年1月1日起，</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固定土地费用</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每3年上浮5%，即</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2032年1月1日至2034年12月31日</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，按照</w:t>
      </w:r>
      <w:r>
        <w:rPr>
          <w:rFonts w:hint="eastAsia" w:ascii="仿宋_GB2312" w:hAnsi="仿宋_GB2312" w:eastAsia="仿宋_GB2312" w:cs="仿宋_GB2312"/>
          <w:color w:val="000000" w:themeColor="text1"/>
          <w:sz w:val="30"/>
          <w:szCs w:val="30"/>
          <w:highlight w:val="none"/>
          <w:u w:val="single" w:color="auto"/>
          <w14:textFill>
            <w14:solidFill>
              <w14:schemeClr w14:val="tx1"/>
            </w14:solidFill>
          </w14:textFill>
        </w:rPr>
        <w:t>2</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19610元/年</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（含税，税率9%）；</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自2035年1月1日至2035年12月31日</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，按照</w:t>
      </w:r>
      <w:r>
        <w:rPr>
          <w:rFonts w:hint="eastAsia" w:ascii="仿宋_GB2312" w:hAnsi="仿宋_GB2312" w:eastAsia="仿宋_GB2312" w:cs="仿宋_GB2312"/>
          <w:color w:val="000000" w:themeColor="text1"/>
          <w:sz w:val="30"/>
          <w:szCs w:val="30"/>
          <w:highlight w:val="none"/>
          <w:u w:val="single" w:color="auto"/>
          <w14:textFill>
            <w14:solidFill>
              <w14:schemeClr w14:val="tx1"/>
            </w14:solidFill>
          </w14:textFill>
        </w:rPr>
        <w:t>2</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30549元/年</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（含税，税率9%）标准向丙方收取</w:t>
      </w:r>
      <w:r>
        <w:rPr>
          <w:rFonts w:hint="eastAsia" w:ascii="仿宋_GB2312" w:hAnsi="仿宋_GB2312" w:eastAsia="仿宋_GB2312" w:cs="仿宋_GB2312"/>
          <w:color w:val="000000" w:themeColor="text1"/>
          <w:sz w:val="30"/>
          <w:szCs w:val="30"/>
          <w:highlight w:val="none"/>
          <w:u w:val="none" w:color="000000"/>
          <w:lang w:val="en-US" w:eastAsia="zh-CN"/>
          <w14:textFill>
            <w14:solidFill>
              <w14:schemeClr w14:val="tx1"/>
            </w14:solidFill>
          </w14:textFill>
        </w:rPr>
        <w:t>固定土地费用</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w:t>
      </w:r>
    </w:p>
    <w:p w14:paraId="7AF2FCE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年度租金每半年支付一次，丙方应于每个支付周期开始前一个月根据本协议约定向甲方或乙方支付。</w:t>
      </w:r>
    </w:p>
    <w:p w14:paraId="353F2206">
      <w:pPr>
        <w:pStyle w:val="2"/>
        <w:keepNext w:val="0"/>
        <w:keepLines w:val="0"/>
        <w:pageBreakBefore w:val="0"/>
        <w:numPr>
          <w:ilvl w:val="0"/>
          <w:numId w:val="1"/>
        </w:numPr>
        <w:kinsoku/>
        <w:wordWrap/>
        <w:overflowPunct/>
        <w:topLinePunct w:val="0"/>
        <w:autoSpaceDE/>
        <w:autoSpaceDN/>
        <w:bidi w:val="0"/>
        <w:spacing w:line="540" w:lineRule="exact"/>
        <w:ind w:left="0" w:leftChars="0" w:firstLine="592" w:firstLineChars="200"/>
        <w:textAlignment w:val="auto"/>
        <w:rPr>
          <w:rFonts w:hint="eastAsia" w:eastAsia="仿宋_GB2312"/>
          <w:lang w:eastAsia="zh-CN"/>
        </w:rPr>
      </w:pPr>
      <w:r>
        <w:rPr>
          <w:rFonts w:hint="eastAsia" w:ascii="仿宋_GB2312" w:hAnsi="仿宋_GB2312" w:eastAsia="仿宋_GB2312" w:cs="仿宋_GB2312"/>
          <w:color w:val="000000"/>
          <w:sz w:val="30"/>
          <w:szCs w:val="30"/>
          <w:highlight w:val="none"/>
          <w:u w:val="none" w:color="auto"/>
          <w:lang w:val="en-US" w:eastAsia="zh-CN"/>
        </w:rPr>
        <w:t>保证金：本协议签订当日，丙方须一次性向乙方支付履约保证金人民币</w:t>
      </w:r>
      <w:r>
        <w:rPr>
          <w:rFonts w:hint="eastAsia" w:ascii="仿宋_GB2312" w:hAnsi="仿宋_GB2312" w:eastAsia="仿宋_GB2312" w:cs="仿宋_GB2312"/>
          <w:color w:val="000000"/>
          <w:sz w:val="30"/>
          <w:szCs w:val="30"/>
          <w:highlight w:val="none"/>
          <w:u w:val="single" w:color="auto"/>
          <w:lang w:val="en-US" w:eastAsia="zh-CN"/>
        </w:rPr>
        <w:t>50000</w:t>
      </w:r>
      <w:r>
        <w:rPr>
          <w:rFonts w:hint="eastAsia" w:ascii="仿宋_GB2312" w:hAnsi="仿宋_GB2312" w:eastAsia="仿宋_GB2312" w:cs="仿宋_GB2312"/>
          <w:color w:val="000000"/>
          <w:sz w:val="30"/>
          <w:szCs w:val="30"/>
          <w:highlight w:val="none"/>
          <w:u w:val="none" w:color="auto"/>
          <w:lang w:val="en-US" w:eastAsia="zh-CN"/>
        </w:rPr>
        <w:t>元（大写：</w:t>
      </w:r>
      <w:r>
        <w:rPr>
          <w:rFonts w:hint="eastAsia" w:ascii="仿宋_GB2312" w:hAnsi="仿宋_GB2312" w:eastAsia="仿宋_GB2312" w:cs="仿宋_GB2312"/>
          <w:color w:val="000000"/>
          <w:sz w:val="30"/>
          <w:szCs w:val="30"/>
          <w:highlight w:val="none"/>
          <w:u w:val="single" w:color="auto"/>
          <w:lang w:val="en-US" w:eastAsia="zh-CN"/>
        </w:rPr>
        <w:t>伍</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 xml:space="preserve">万元整 </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乙方开具相应金额收据，2028年12月31日后，丙方将收据原件退还乙方，如丙方尚欠乙方费用，乙方扣除丙方应支付的费用后于7个工作日内，将剩余保证金无息转至甲方，由甲方开具相应金额收据给丙方。协议到期前，甲方或乙方有权依据本合同约定，从保证金中直接扣减丙方保证金（包括但不限于丙方未及时缴纳租金、分成充电服务费、滞纳金及其他违约金或补偿金）。协议到期后，甲方无息退还丙方保证金，以担保丙方按照本协议的约定充分履行相关义务。丙方应当保持合作期限内的履约保证金为人民币</w:t>
      </w:r>
      <w:r>
        <w:rPr>
          <w:rFonts w:hint="eastAsia" w:ascii="仿宋_GB2312" w:hAnsi="仿宋_GB2312" w:eastAsia="仿宋_GB2312" w:cs="仿宋_GB2312"/>
          <w:color w:val="000000" w:themeColor="text1"/>
          <w:sz w:val="30"/>
          <w:szCs w:val="30"/>
          <w:highlight w:val="none"/>
          <w:u w:val="single" w:color="auto"/>
          <w:lang w:val="en-US" w:eastAsia="zh-CN"/>
          <w14:textFill>
            <w14:solidFill>
              <w14:schemeClr w14:val="tx1"/>
            </w14:solidFill>
          </w14:textFill>
        </w:rPr>
        <w:t>50000</w:t>
      </w:r>
      <w:r>
        <w:rPr>
          <w:rFonts w:hint="eastAsia" w:ascii="仿宋_GB2312" w:hAnsi="仿宋_GB2312" w:eastAsia="仿宋_GB2312" w:cs="仿宋_GB2312"/>
          <w:color w:val="000000" w:themeColor="text1"/>
          <w:sz w:val="30"/>
          <w:szCs w:val="30"/>
          <w:highlight w:val="none"/>
          <w:u w:val="none" w:color="auto"/>
          <w:lang w:val="en-US" w:eastAsia="zh-CN"/>
          <w14:textFill>
            <w14:solidFill>
              <w14:schemeClr w14:val="tx1"/>
            </w14:solidFill>
          </w14:textFill>
        </w:rPr>
        <w:t>元，即履约保证金一旦</w:t>
      </w:r>
      <w:r>
        <w:rPr>
          <w:rFonts w:hint="eastAsia" w:ascii="仿宋_GB2312" w:hAnsi="仿宋_GB2312" w:eastAsia="仿宋_GB2312" w:cs="仿宋_GB2312"/>
          <w:color w:val="000000"/>
          <w:sz w:val="30"/>
          <w:szCs w:val="30"/>
          <w:highlight w:val="none"/>
          <w:u w:val="none" w:color="auto"/>
          <w:lang w:val="en-US" w:eastAsia="zh-CN"/>
        </w:rPr>
        <w:t>抵扣任何应付款项的，丙方应当在甲方或乙方通知后5个工作日内补足。</w:t>
      </w:r>
    </w:p>
    <w:p w14:paraId="3BD61B8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3、分成充电服务费：若丙方在瓦水路充电场站产生的实际充电量年度超过500万kW·h的，丙方应另行支付超出部分的15%作为运营分成，单价参照长沙公交运营有限公司目前标准0.3元/kW·h执行，即分成充电服务费=（实际充电量-500万kW·h）*0.3元/kW·h*15%。约定的分成充电服务费，从2026年1月1日起开始计算，由丙方在每租赁年限到期后（即次年1月5日前提供上年度1月1日至12月 31日期间充电数据），向甲方或乙方提供充电平台实际结算数据，双方核对无误后5个工作日内进行支付（含税）。</w:t>
      </w:r>
    </w:p>
    <w:p w14:paraId="6EA3B77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4、运营期不足一年折算成天计算，即年度固定土地费用/365天*实际使用天数。</w:t>
      </w:r>
    </w:p>
    <w:p w14:paraId="4DF5403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ascii="黑体" w:hAnsi="黑体" w:eastAsia="黑体" w:cs="黑体"/>
          <w:b w:val="0"/>
          <w:bCs w:val="0"/>
          <w:lang w:eastAsia="zh-CN"/>
        </w:rPr>
        <w:t>五、支付方式：</w:t>
      </w:r>
      <w:r>
        <w:rPr>
          <w:rFonts w:hint="eastAsia" w:eastAsia="仿宋_GB2312"/>
          <w:lang w:eastAsia="zh-CN"/>
        </w:rPr>
        <w:t>甲方或乙方出具等额增值税发票（含税），丙方按本协议约定时间阶段分别向甲方或乙方直接支付，其中固定土地费用不包括土地平整费、项目建设费等费用。</w:t>
      </w:r>
    </w:p>
    <w:p w14:paraId="1723124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甲方收款账户为：</w:t>
      </w:r>
    </w:p>
    <w:p w14:paraId="57488B6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户名：                                 </w:t>
      </w:r>
    </w:p>
    <w:p w14:paraId="4D85B24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开户行：                               </w:t>
      </w:r>
    </w:p>
    <w:p w14:paraId="043E0C0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账号：                                 </w:t>
      </w:r>
    </w:p>
    <w:p w14:paraId="2A00826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乙方收款账户为：</w:t>
      </w:r>
    </w:p>
    <w:p w14:paraId="65745DD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户名：                                 </w:t>
      </w:r>
    </w:p>
    <w:p w14:paraId="2E44B78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开户行：                               </w:t>
      </w:r>
    </w:p>
    <w:p w14:paraId="505586E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 xml:space="preserve">账号：                                 </w:t>
      </w:r>
    </w:p>
    <w:p w14:paraId="4DCDD31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lang w:eastAsia="zh-CN"/>
        </w:rPr>
      </w:pPr>
      <w:r>
        <w:rPr>
          <w:rFonts w:hint="eastAsia" w:ascii="黑体" w:hAnsi="黑体" w:eastAsia="黑体" w:cs="黑体"/>
          <w:b w:val="0"/>
          <w:bCs w:val="0"/>
          <w:lang w:eastAsia="zh-CN"/>
        </w:rPr>
        <w:t>六、权利与义务</w:t>
      </w:r>
    </w:p>
    <w:p w14:paraId="5B513FC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1、甲方权利与义务</w:t>
      </w:r>
    </w:p>
    <w:p w14:paraId="0073C63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（1）甲方有权按与乙方2024年7月31日单独签订的《补充协议》向乙方收取相关的土地租金。</w:t>
      </w:r>
    </w:p>
    <w:p w14:paraId="0A088D6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（2）甲方有权对丙方在瓦水路充电场站投资建设固化设施（包含但不限于场地硬化、充电设施及配套设施升级）总投资额不低于人民币100万元进行确认。</w:t>
      </w:r>
    </w:p>
    <w:p w14:paraId="41FADFC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（3）甲方有权按本协议约定的时间向丙方收取相关的固定土地费用，同时有权与丙方进行合作经营并获得相关的收益。</w:t>
      </w:r>
    </w:p>
    <w:p w14:paraId="0FD364E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4）甲方有权监督丙方依据本协议约定使用土地。丙方未征得甲方同意，擅自改变用途的，甲方有权立即解除协议，收回相关土地的土地使用权，已收取的使用费不予退还。甲方无需对丙方作任何补偿，对甲方造成的损失由丙方承担。</w:t>
      </w:r>
    </w:p>
    <w:p w14:paraId="4B046C9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（5）租赁期内，如遇国家重点工程项目、国家征用该租赁土地及规划工程项目建设需要使用租赁土地，或其他</w:t>
      </w:r>
      <w:r>
        <w:rPr>
          <w:rFonts w:hint="eastAsia"/>
          <w:color w:val="000000" w:themeColor="text1"/>
          <w:lang w:eastAsia="zh-CN"/>
          <w14:textFill>
            <w14:solidFill>
              <w14:schemeClr w14:val="tx1"/>
            </w14:solidFill>
          </w14:textFill>
        </w:rPr>
        <w:t>政策</w:t>
      </w:r>
      <w:r>
        <w:rPr>
          <w:rFonts w:hint="eastAsia" w:eastAsia="仿宋_GB2312"/>
          <w:lang w:eastAsia="zh-CN"/>
        </w:rPr>
        <w:t>原因不能对外出租的，本协议自行终止，丙方必须无条件接受，甲方不作任何补偿。</w:t>
      </w:r>
    </w:p>
    <w:p w14:paraId="3804506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（6）本协议期满不再延续的，甲方有权直接收回该土地的土地使用权</w:t>
      </w:r>
      <w:r>
        <w:rPr>
          <w:rFonts w:hint="eastAsia" w:eastAsia="仿宋_GB2312"/>
          <w:color w:val="000000" w:themeColor="text1"/>
          <w:lang w:eastAsia="zh-CN"/>
          <w14:textFill>
            <w14:solidFill>
              <w14:schemeClr w14:val="tx1"/>
            </w14:solidFill>
          </w14:textFill>
        </w:rPr>
        <w:t>，</w:t>
      </w:r>
      <w:r>
        <w:rPr>
          <w:rFonts w:hint="eastAsia" w:eastAsia="仿宋_GB2312"/>
          <w:lang w:eastAsia="zh-CN"/>
        </w:rPr>
        <w:t>甲方无需对丙方作任何补偿。</w:t>
      </w:r>
    </w:p>
    <w:p w14:paraId="45353BD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2、乙方权利与义务</w:t>
      </w:r>
    </w:p>
    <w:p w14:paraId="5D1504D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（1）乙方有权对丙方在瓦水路充电场站投资建设固化设施（包含但不限于场地硬化、充电设施及配套设施升级）总投资额不低于人民币100万元进行确认。</w:t>
      </w:r>
    </w:p>
    <w:p w14:paraId="41BA6AD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（2）乙方有权按本协议约定的时间向丙方收取相关的固定土地费用，同时有权与丙方进行合作经营并获得相关的收益。</w:t>
      </w:r>
    </w:p>
    <w:p w14:paraId="1B0091C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（3）甲、乙、丙三方于经营合作期限第一阶段到期后，即2028年12月31日后若已结清本协议下已产生的所有债权债务，则乙方与甲方、丙方之间不再存在以本协议内容为依据的争议或纠纷，乙方的权利与义务终止。</w:t>
      </w:r>
    </w:p>
    <w:p w14:paraId="22AC254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lang w:eastAsia="zh-CN"/>
        </w:rPr>
        <w:t>（4）在第一阶段经营合作期内，乙方应监督丙方依据本协议约定使用土地。丙方未征得乙方同意，擅自改变用途的，乙方应立即告知甲方，乙方有权立即解除协议，收回相关土地的土地使用权，已收取的使用费不予退还。甲</w:t>
      </w:r>
      <w:r>
        <w:rPr>
          <w:rFonts w:hint="eastAsia" w:ascii="仿宋_GB2312" w:hAnsi="仿宋_GB2312" w:eastAsia="仿宋_GB2312" w:cs="仿宋_GB2312"/>
          <w:color w:val="000000"/>
          <w:sz w:val="30"/>
          <w:szCs w:val="30"/>
          <w:highlight w:val="none"/>
          <w:u w:val="none" w:color="000000"/>
          <w:lang w:val="en-US" w:eastAsia="zh-CN"/>
        </w:rPr>
        <w:t>方、</w:t>
      </w:r>
      <w:r>
        <w:rPr>
          <w:rFonts w:hint="eastAsia" w:eastAsia="仿宋_GB2312"/>
          <w:lang w:eastAsia="zh-CN"/>
        </w:rPr>
        <w:t>乙方无需对丙方作任何补偿，对甲</w:t>
      </w:r>
      <w:r>
        <w:rPr>
          <w:rFonts w:hint="eastAsia" w:ascii="仿宋_GB2312" w:hAnsi="仿宋_GB2312" w:eastAsia="仿宋_GB2312" w:cs="仿宋_GB2312"/>
          <w:color w:val="000000"/>
          <w:sz w:val="30"/>
          <w:szCs w:val="30"/>
          <w:highlight w:val="none"/>
          <w:u w:val="none" w:color="000000"/>
          <w:lang w:val="en-US" w:eastAsia="zh-CN"/>
        </w:rPr>
        <w:t>方、</w:t>
      </w:r>
      <w:r>
        <w:rPr>
          <w:rFonts w:hint="eastAsia" w:eastAsia="仿宋_GB2312"/>
          <w:lang w:eastAsia="zh-CN"/>
        </w:rPr>
        <w:t>乙方造</w:t>
      </w:r>
      <w:r>
        <w:rPr>
          <w:rFonts w:hint="eastAsia" w:eastAsia="仿宋_GB2312"/>
          <w:color w:val="000000" w:themeColor="text1"/>
          <w:lang w:eastAsia="zh-CN"/>
          <w14:textFill>
            <w14:solidFill>
              <w14:schemeClr w14:val="tx1"/>
            </w14:solidFill>
          </w14:textFill>
        </w:rPr>
        <w:t>成的损失由丙方承担。</w:t>
      </w:r>
    </w:p>
    <w:p w14:paraId="0A99FEC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color w:val="000000" w:themeColor="text1"/>
          <w:lang w:eastAsia="zh-CN"/>
          <w14:textFill>
            <w14:solidFill>
              <w14:schemeClr w14:val="tx1"/>
            </w14:solidFill>
          </w14:textFill>
        </w:rPr>
        <w:t>（5）租赁期内，如遇国家重点工程项目、国家征用该租赁土地及规划工程项目建设需要使用租赁土地，或其他政策原因不能对外出租的，本协议自行终止，丙方必须无条件接受，乙方不作任何补偿。</w:t>
      </w:r>
    </w:p>
    <w:p w14:paraId="0FA6B34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color w:val="000000" w:themeColor="text1"/>
          <w:lang w:eastAsia="zh-CN"/>
          <w14:textFill>
            <w14:solidFill>
              <w14:schemeClr w14:val="tx1"/>
            </w14:solidFill>
          </w14:textFill>
        </w:rPr>
        <w:t>3、丙方权利与义务</w:t>
      </w:r>
    </w:p>
    <w:p w14:paraId="15A0FC4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color w:val="000000" w:themeColor="text1"/>
          <w:lang w:eastAsia="zh-CN"/>
          <w14:textFill>
            <w14:solidFill>
              <w14:schemeClr w14:val="tx1"/>
            </w14:solidFill>
          </w14:textFill>
        </w:rPr>
      </w:pPr>
      <w:r>
        <w:rPr>
          <w:rFonts w:hint="eastAsia" w:eastAsia="仿宋_GB2312"/>
          <w:color w:val="000000" w:themeColor="text1"/>
          <w:lang w:eastAsia="zh-CN"/>
          <w14:textFill>
            <w14:solidFill>
              <w14:schemeClr w14:val="tx1"/>
            </w14:solidFill>
          </w14:textFill>
        </w:rPr>
        <w:t>（1）</w:t>
      </w:r>
      <w:r>
        <w:rPr>
          <w:rFonts w:hint="eastAsia"/>
          <w:color w:val="000000" w:themeColor="text1"/>
          <w:lang w:eastAsia="zh-CN"/>
          <w14:textFill>
            <w14:solidFill>
              <w14:schemeClr w14:val="tx1"/>
            </w14:solidFill>
          </w14:textFill>
        </w:rPr>
        <w:t>除因</w:t>
      </w:r>
      <w:r>
        <w:rPr>
          <w:rFonts w:hint="eastAsia" w:eastAsia="仿宋_GB2312"/>
          <w:color w:val="000000" w:themeColor="text1"/>
          <w:lang w:eastAsia="zh-CN"/>
          <w14:textFill>
            <w14:solidFill>
              <w14:schemeClr w14:val="tx1"/>
            </w14:solidFill>
          </w14:textFill>
        </w:rPr>
        <w:t>长沙公交运营有限公司</w:t>
      </w:r>
      <w:r>
        <w:rPr>
          <w:rFonts w:hint="eastAsia"/>
          <w:color w:val="000000" w:themeColor="text1"/>
          <w:lang w:eastAsia="zh-CN"/>
          <w14:textFill>
            <w14:solidFill>
              <w14:schemeClr w14:val="tx1"/>
            </w14:solidFill>
          </w14:textFill>
        </w:rPr>
        <w:t>书面主动提出退出</w:t>
      </w:r>
      <w:r>
        <w:rPr>
          <w:rFonts w:hint="eastAsia" w:eastAsia="仿宋_GB2312"/>
          <w:color w:val="000000" w:themeColor="text1"/>
          <w:lang w:eastAsia="zh-CN"/>
          <w14:textFill>
            <w14:solidFill>
              <w14:schemeClr w14:val="tx1"/>
            </w14:solidFill>
          </w14:textFill>
        </w:rPr>
        <w:t>，丙方不得擅自终止公交方在该站运营</w:t>
      </w:r>
      <w:r>
        <w:rPr>
          <w:rFonts w:hint="eastAsia"/>
          <w:color w:val="000000" w:themeColor="text1"/>
          <w:lang w:eastAsia="zh-CN"/>
          <w14:textFill>
            <w14:solidFill>
              <w14:schemeClr w14:val="tx1"/>
            </w14:solidFill>
          </w14:textFill>
        </w:rPr>
        <w:t>。</w:t>
      </w:r>
    </w:p>
    <w:p w14:paraId="73DCC09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color w:val="000000" w:themeColor="text1"/>
          <w:lang w:eastAsia="zh-CN"/>
          <w14:textFill>
            <w14:solidFill>
              <w14:schemeClr w14:val="tx1"/>
            </w14:solidFill>
          </w14:textFill>
        </w:rPr>
        <w:t>（2）丙方承诺在瓦水路充电场站投资建设固化设施（包含但不限于场地硬化、充电设施及配套设施升级），总投资额不低于人民币100万元，</w:t>
      </w:r>
      <w:r>
        <w:rPr>
          <w:rFonts w:hint="eastAsia" w:eastAsia="仿宋_GB2312"/>
          <w:color w:val="000000" w:themeColor="text1"/>
          <w:lang w:eastAsia="zh-CN"/>
          <w14:textFill>
            <w14:solidFill>
              <w14:schemeClr w14:val="tx1"/>
            </w14:solidFill>
          </w14:textFill>
        </w:rPr>
        <w:t>并于本协议签订后6个月内投建完成，</w:t>
      </w:r>
      <w:r>
        <w:rPr>
          <w:rFonts w:hint="eastAsia" w:eastAsia="仿宋_GB2312"/>
          <w:lang w:eastAsia="zh-CN"/>
        </w:rPr>
        <w:t>提供投资佐证材料，由甲方、乙方联合确认，投建相关手续由丙方自行负责。</w:t>
      </w:r>
      <w:r>
        <w:rPr>
          <w:rFonts w:hint="eastAsia"/>
          <w:lang w:val="en-US" w:eastAsia="zh-CN"/>
        </w:rPr>
        <w:t>如未按时投资建设完成，且无正当理由的，</w:t>
      </w:r>
      <w:r>
        <w:rPr>
          <w:rFonts w:hint="eastAsia" w:eastAsia="仿宋_GB2312"/>
          <w:lang w:eastAsia="zh-CN"/>
        </w:rPr>
        <w:t>视为丙方违约，丙方应按</w:t>
      </w:r>
      <w:r>
        <w:rPr>
          <w:rFonts w:hint="eastAsia"/>
          <w:lang w:val="en-US" w:eastAsia="zh-CN"/>
        </w:rPr>
        <w:t>年度固定土地</w:t>
      </w:r>
      <w:r>
        <w:rPr>
          <w:rFonts w:hint="eastAsia" w:eastAsia="仿宋_GB2312"/>
          <w:lang w:eastAsia="zh-CN"/>
        </w:rPr>
        <w:t>费用的千分之五一天向甲方或乙方支付违约金</w:t>
      </w:r>
      <w:r>
        <w:rPr>
          <w:rFonts w:hint="eastAsia"/>
          <w:lang w:eastAsia="zh-CN"/>
        </w:rPr>
        <w:t>。</w:t>
      </w:r>
    </w:p>
    <w:p w14:paraId="47A0935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3）丙方对瓦水路充电场站进行装修或改造的，不得损害场地的主体结构或危及场地的使用安全。丙方应当注意装修改造施工安全，装修改造产生的一切费用和安全责任由丙方自行承担，甲方和乙方对此不承担任何责任。丙方在装修改造过程中应当遵守相关法律法规及甲方和乙方的装修管理规定，遵从甲方和乙方的管理。</w:t>
      </w:r>
    </w:p>
    <w:p w14:paraId="26B0DCC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（4）丙方负责维护瓦水路充电场站的日常经营管理秩序，遵守本协议及甲方、乙方制定的相关的其他规定及其他各项管理制度，配合甲方、乙方迎接各项政府检查工作。</w:t>
      </w:r>
    </w:p>
    <w:p w14:paraId="235BC01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（5）丙方在租赁瓦水路充电场站期间须重视安全工作，注意防火，瓦水路充电场站内不得存放易燃易爆物品，如出现火灾等意外事故，造成的责任及由此导致的甲方、</w:t>
      </w:r>
      <w:r>
        <w:rPr>
          <w:rFonts w:hint="eastAsia" w:eastAsia="仿宋_GB2312"/>
          <w:lang w:val="en-US" w:eastAsia="zh-CN"/>
        </w:rPr>
        <w:t>乙方</w:t>
      </w:r>
      <w:r>
        <w:rPr>
          <w:rFonts w:hint="eastAsia" w:eastAsia="仿宋_GB2312"/>
          <w:lang w:eastAsia="zh-CN"/>
        </w:rPr>
        <w:t>或其他第三方的损失全部由丙方承担。</w:t>
      </w:r>
    </w:p>
    <w:p w14:paraId="7A027B3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（6）根据协议规定，按时向甲方、乙方支付固定土地费用。并按照协议约定，在与甲方或乙方合作经营期间及时支付运营收益分成。</w:t>
      </w:r>
    </w:p>
    <w:p w14:paraId="735CD63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（7）丙方如不按时向甲方或乙方支付固定土地费用，视为丙方违约，丙方应按实欠费用的千分之五一天向甲方或乙方支付违约金，如拖欠费用30天（含），视为丙方严重违约，则甲方或乙方有权单方解除本协议。</w:t>
      </w:r>
    </w:p>
    <w:p w14:paraId="4287039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（8）丙方如不按时向甲方或乙方支付分成充电服务费，视为丙方违约，丙方应按实欠费用的千分之五一天向甲方或乙方支付违约金。丙方应向甲方或乙方提供充电平台账号，该账号应可查阅具体充电数据，如</w:t>
      </w:r>
      <w:r>
        <w:rPr>
          <w:rFonts w:hint="eastAsia" w:ascii="仿宋_GB2312" w:hAnsi="仿宋_GB2312" w:eastAsia="仿宋_GB2312" w:cs="仿宋_GB2312"/>
          <w:color w:val="000000"/>
          <w:sz w:val="30"/>
          <w:szCs w:val="30"/>
          <w:highlight w:val="none"/>
          <w:u w:val="none" w:color="auto"/>
          <w:lang w:val="en-US" w:eastAsia="zh-CN"/>
        </w:rPr>
        <w:t>丙方逾期超过7日仍未向甲方或乙方提供充电数据或甲方、乙方</w:t>
      </w:r>
      <w:r>
        <w:rPr>
          <w:rFonts w:hint="eastAsia" w:eastAsia="仿宋_GB2312"/>
          <w:lang w:eastAsia="zh-CN"/>
        </w:rPr>
        <w:t>发现丙方充电数据不真实，视为丙方严重违约，则甲方或乙方有权单方解除本协议。</w:t>
      </w:r>
    </w:p>
    <w:p w14:paraId="4FE79E0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（9）丙方有义务按照本协议约定的范围内使用土地。丙方如果需要改变土地用途的，应事先征得甲方或乙方同意并由丙方按有关规定报政府相关部门批准实施。</w:t>
      </w:r>
    </w:p>
    <w:p w14:paraId="37D7893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（10）丙方不得将租赁的土地使用权进行转租、转让、抵押或以任何形式对外进行融资，否则，甲方或乙方有权单方解除本协议。</w:t>
      </w:r>
    </w:p>
    <w:p w14:paraId="12B0DF0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（11）丙方应保证政府管理、公安、消防、救助人员及其紧急器械、车辆等在进行紧急救险或执行公务时能顺利进出该土地。</w:t>
      </w:r>
    </w:p>
    <w:p w14:paraId="3CAC667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12）本协议终止后，瓦水路充电场站场地内属丙方所有的可移动物品由丙方自行处理，丙方新增添的一切固定设施、设备、装修等无法拆除或拆除后会影响租赁场地使用或价值的设施、设备及装修（包括但不限于护栏等）未经甲方同意，丙方不得拆除或搬走，无偿归甲方所有，甲方无需补偿；如丙方损坏或拆除的，甲方有权在履约保证金中扣除相应款项，不足部分，丙方负责赔偿。本协议终止后，甲方有权要求丙方将瓦水路充电场站恢复至丙方承租前原状，若甲方提出此要求，丙方应予恢复，并承担由此产生的所有费用和支出。</w:t>
      </w:r>
    </w:p>
    <w:p w14:paraId="2F928C1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13）本协议期限届满或提前终止或被解除的，丙方应在届满、终止或解除之日起10个工作日内将租赁土地移交甲方或乙方。移交的土地应保持地面平整，无构建物或其他设施设备等。如未按上述标准及时移交土地，则丙方应按本协议约定的租金标准双倍支付逾期腾退期间的场地占用费，且甲方或乙方有权自行处置丙方遗留在土地上的资产、设备等，由此产生的法律后果由丙方全部承担。</w:t>
      </w:r>
    </w:p>
    <w:p w14:paraId="042C35E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lang w:eastAsia="zh-CN"/>
        </w:rPr>
      </w:pPr>
      <w:r>
        <w:rPr>
          <w:rFonts w:hint="eastAsia" w:ascii="黑体" w:hAnsi="黑体" w:eastAsia="黑体" w:cs="黑体"/>
          <w:b w:val="0"/>
          <w:bCs w:val="0"/>
          <w:lang w:eastAsia="zh-CN"/>
        </w:rPr>
        <w:t>七、违约责任</w:t>
      </w:r>
    </w:p>
    <w:p w14:paraId="03ACB19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如果一方违反本协议的任何条款，非违约方有权解除本协议，并依法要求违约方赔偿相应损失，因诉讼产生的诉讼费、律师费、鉴定费、评估费、保全费、担保费等合理支出，均由违约方承担。</w:t>
      </w:r>
    </w:p>
    <w:p w14:paraId="22ABC99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lang w:eastAsia="zh-CN"/>
        </w:rPr>
      </w:pPr>
      <w:r>
        <w:rPr>
          <w:rFonts w:hint="eastAsia" w:ascii="黑体" w:hAnsi="黑体" w:eastAsia="黑体" w:cs="黑体"/>
          <w:b w:val="0"/>
          <w:bCs w:val="0"/>
          <w:lang w:eastAsia="zh-CN"/>
        </w:rPr>
        <w:t>八、争议解决</w:t>
      </w:r>
    </w:p>
    <w:p w14:paraId="51A56DA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如本协议在履行过程中发生争议，各方应当本着平等互利、友好合作的原则协商解决。若各方存在不愿协商或协商不成的情况，则由甲方所在地法院管辖。</w:t>
      </w:r>
    </w:p>
    <w:p w14:paraId="374E8AD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lang w:eastAsia="zh-CN"/>
        </w:rPr>
      </w:pPr>
      <w:r>
        <w:rPr>
          <w:rFonts w:hint="eastAsia" w:ascii="黑体" w:hAnsi="黑体" w:eastAsia="黑体" w:cs="黑体"/>
          <w:b w:val="0"/>
          <w:bCs w:val="0"/>
          <w:lang w:eastAsia="zh-CN"/>
        </w:rPr>
        <w:t>九、其他</w:t>
      </w:r>
    </w:p>
    <w:p w14:paraId="0BE9EA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lang w:eastAsia="zh-CN"/>
        </w:rPr>
      </w:pPr>
      <w:r>
        <w:rPr>
          <w:rFonts w:hint="eastAsia" w:eastAsia="仿宋_GB2312"/>
          <w:lang w:eastAsia="zh-CN"/>
        </w:rPr>
        <w:t>1、协议履行过程中的来往传真、电报、会议纪要等，经对方确认后，均为协议组成部分，与本协议具有同等法律效力。未尽事宜，经协商一致，可签订补充协议，补充协议与本协议具有同等效力。</w:t>
      </w:r>
    </w:p>
    <w:p w14:paraId="12CF8E9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lang w:eastAsia="zh-CN"/>
        </w:rPr>
        <w:t>2、协议期间，因不可抗力因素致使协议无法履行时，各方均应立即以电话、传真或电子邮件等有效方式通知对方，对不可抗力事件造成的任何损失，由各自承担自身损失，各方均不负赔偿责任，因一方延误通知，</w:t>
      </w:r>
      <w:r>
        <w:rPr>
          <w:rFonts w:hint="eastAsia" w:eastAsia="仿宋_GB2312"/>
          <w:color w:val="000000" w:themeColor="text1"/>
          <w:lang w:eastAsia="zh-CN"/>
          <w14:textFill>
            <w14:solidFill>
              <w14:schemeClr w14:val="tx1"/>
            </w14:solidFill>
          </w14:textFill>
        </w:rPr>
        <w:t>导致的扩大部分的损失，由延误通知方承担。</w:t>
      </w:r>
    </w:p>
    <w:p w14:paraId="47E7689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3、乙方和丙方应在合同签订时明确丙方所购买乙方下属子公司的资产明细表。</w:t>
      </w:r>
    </w:p>
    <w:p w14:paraId="58DB5E9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eastAsia="仿宋_GB2312"/>
          <w:color w:val="000000" w:themeColor="text1"/>
          <w:lang w:eastAsia="zh-CN"/>
          <w14:textFill>
            <w14:solidFill>
              <w14:schemeClr w14:val="tx1"/>
            </w14:solidFill>
          </w14:textFill>
        </w:rPr>
        <w:t>、本协议自三方签字并盖章之日起生效。</w:t>
      </w:r>
    </w:p>
    <w:p w14:paraId="5BE0ADA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eastAsia" w:eastAsia="仿宋_GB2312"/>
          <w:color w:val="000000" w:themeColor="text1"/>
          <w:lang w:eastAsia="zh-CN"/>
          <w14:textFill>
            <w14:solidFill>
              <w14:schemeClr w14:val="tx1"/>
            </w14:solidFill>
          </w14:textFill>
        </w:rPr>
        <w:t>、本协议一式叁份，三方各持壹份，具有同等法律效力。</w:t>
      </w:r>
    </w:p>
    <w:p w14:paraId="317A3FA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 w:val="0"/>
          <w:bCs w:val="0"/>
          <w:color w:val="000000" w:themeColor="text1"/>
          <w:lang w:eastAsia="zh-CN"/>
          <w14:textFill>
            <w14:solidFill>
              <w14:schemeClr w14:val="tx1"/>
            </w14:solidFill>
          </w14:textFill>
        </w:rPr>
      </w:pPr>
      <w:r>
        <w:rPr>
          <w:rFonts w:hint="eastAsia" w:ascii="黑体" w:hAnsi="黑体" w:eastAsia="黑体" w:cs="黑体"/>
          <w:b w:val="0"/>
          <w:bCs w:val="0"/>
          <w:color w:val="000000" w:themeColor="text1"/>
          <w:lang w:val="en-US" w:eastAsia="zh-CN"/>
          <w14:textFill>
            <w14:solidFill>
              <w14:schemeClr w14:val="tx1"/>
            </w14:solidFill>
          </w14:textFill>
        </w:rPr>
        <w:t>十、</w:t>
      </w:r>
      <w:r>
        <w:rPr>
          <w:rFonts w:hint="eastAsia" w:ascii="黑体" w:hAnsi="黑体" w:eastAsia="黑体" w:cs="黑体"/>
          <w:b w:val="0"/>
          <w:bCs w:val="0"/>
          <w:color w:val="000000" w:themeColor="text1"/>
          <w:lang w:eastAsia="zh-CN"/>
          <w14:textFill>
            <w14:solidFill>
              <w14:schemeClr w14:val="tx1"/>
            </w14:solidFill>
          </w14:textFill>
        </w:rPr>
        <w:t>合同附件</w:t>
      </w:r>
    </w:p>
    <w:p w14:paraId="5073E1C1">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    1.丙方所购乙方子公司资产明细表；</w:t>
      </w:r>
    </w:p>
    <w:p w14:paraId="1B2BC9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1"/>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2.丙方投资明细表；</w:t>
      </w:r>
    </w:p>
    <w:p w14:paraId="06A40ED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color w:val="000000" w:themeColor="text1"/>
          <w:lang w:eastAsia="zh-CN"/>
          <w14:textFill>
            <w14:solidFill>
              <w14:schemeClr w14:val="tx1"/>
            </w14:solidFill>
          </w14:textFill>
        </w:rPr>
      </w:pPr>
      <w:r>
        <w:rPr>
          <w:rFonts w:hint="eastAsia" w:eastAsia="仿宋_GB2312"/>
          <w:color w:val="000000" w:themeColor="text1"/>
          <w:lang w:eastAsia="zh-CN"/>
          <w14:textFill>
            <w14:solidFill>
              <w14:schemeClr w14:val="tx1"/>
            </w14:solidFill>
          </w14:textFill>
        </w:rPr>
        <w:t>（以下无正文）</w:t>
      </w:r>
    </w:p>
    <w:p w14:paraId="50D81C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1D4FF6C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448409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bookmarkStart w:id="0" w:name="_GoBack"/>
      <w:bookmarkEnd w:id="0"/>
    </w:p>
    <w:p w14:paraId="6216C0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45EEF18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07B5452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534713B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59C39B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408357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26945CA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02FBF4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7E25BA4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78030D4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甲方（盖章）</w:t>
      </w:r>
    </w:p>
    <w:p w14:paraId="0DE70CF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法定代表人或委托代理人（签字）</w:t>
      </w:r>
    </w:p>
    <w:p w14:paraId="6D13003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日期：</w:t>
      </w:r>
    </w:p>
    <w:p w14:paraId="0477624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2920C7C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丙方（盖章）</w:t>
      </w:r>
    </w:p>
    <w:p w14:paraId="59A260E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法定代表人或委托代理人（签字）</w:t>
      </w:r>
    </w:p>
    <w:p w14:paraId="4FED705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日期：</w:t>
      </w:r>
    </w:p>
    <w:p w14:paraId="63C7FCB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p>
    <w:p w14:paraId="5FF7949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乙方（盖章）</w:t>
      </w:r>
    </w:p>
    <w:p w14:paraId="47DB0CC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法定代表人或委托代理人（签字）</w:t>
      </w:r>
    </w:p>
    <w:p w14:paraId="26209B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eastAsia="仿宋_GB2312"/>
          <w:lang w:eastAsia="zh-CN"/>
        </w:rPr>
        <w:t>日期：</w:t>
      </w:r>
    </w:p>
    <w:sectPr>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suff w:val="nothing"/>
      <w:lvlText w:val="%1、"/>
      <w:lvlJc w:val="left"/>
    </w:lvl>
    <w:lvl w:ilvl="1" w:tentative="0">
      <w:start w:val="1"/>
      <w:numFmt w:val="decimal"/>
      <w:suff w:val="nothing"/>
      <w:lvlText w:val="(%2)"/>
      <w:lvlJc w:val="left"/>
      <w:pPr>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wOTcyN2I3MmEzYjU0YWRkZTlmYWVhM2M3MDllZWUifQ=="/>
  </w:docVars>
  <w:rsids>
    <w:rsidRoot w:val="00000000"/>
    <w:rsid w:val="03D13923"/>
    <w:rsid w:val="0462668B"/>
    <w:rsid w:val="0F205D4B"/>
    <w:rsid w:val="12FB6C31"/>
    <w:rsid w:val="1E19673C"/>
    <w:rsid w:val="268F7904"/>
    <w:rsid w:val="29086F52"/>
    <w:rsid w:val="315A40C3"/>
    <w:rsid w:val="354615F7"/>
    <w:rsid w:val="36154163"/>
    <w:rsid w:val="39D9392A"/>
    <w:rsid w:val="475C24EB"/>
    <w:rsid w:val="58262758"/>
    <w:rsid w:val="58296419"/>
    <w:rsid w:val="5F852B4C"/>
    <w:rsid w:val="621E76E6"/>
    <w:rsid w:val="62AA4F5B"/>
    <w:rsid w:val="6ABC311D"/>
    <w:rsid w:val="6B5C4B3B"/>
    <w:rsid w:val="6DDD69F5"/>
    <w:rsid w:val="72D134DE"/>
    <w:rsid w:val="76346DF8"/>
    <w:rsid w:val="77D57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heme="minorBidi"/>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88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5173</Words>
  <Characters>5348</Characters>
  <Lines>0</Lines>
  <Paragraphs>0</Paragraphs>
  <TotalTime>183</TotalTime>
  <ScaleCrop>false</ScaleCrop>
  <LinksUpToDate>false</LinksUpToDate>
  <CharactersWithSpaces>5559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2024-06-03T08:15:00Z</dcterms:created>
  <dc:creator>HR</dc:creator>
  <cp:lastModifiedBy>恬小妞</cp:lastModifiedBy>
  <dcterms:modified xsi:type="dcterms:W3CDTF">2025-11-04T02:56:18Z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FB37F00CEA694CD1B0ED5F773F83F2AA_13</vt:lpwstr>
  </property>
  <property fmtid="{D5CDD505-2E9C-101B-9397-08002B2CF9AE}" pid="4" name="KSOTemplateDocerSaveRecord">
    <vt:lpwstr>eyJoZGlkIjoiZDhiYWQwOTE5N2UwOTBmMDk5NTE1NTQxYzVlMjcxMTYiLCJ1c2VySWQiOiIyMzIzNjM2ODgifQ==</vt:lpwstr>
  </property>
</Properties>
</file>